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841E" w14:textId="77777777" w:rsidR="00B95F67" w:rsidRPr="00331346" w:rsidRDefault="005C6FE1">
      <w:pPr>
        <w:spacing w:after="60"/>
        <w:ind w:right="-40"/>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Name of Student___________________________</w:t>
      </w:r>
    </w:p>
    <w:p w14:paraId="5533604B" w14:textId="77777777" w:rsidR="00B95F67" w:rsidRPr="00331346" w:rsidRDefault="00B95F67">
      <w:pPr>
        <w:tabs>
          <w:tab w:val="left" w:pos="1200"/>
        </w:tabs>
        <w:spacing w:before="80"/>
        <w:ind w:right="-40"/>
        <w:jc w:val="both"/>
        <w:rPr>
          <w:rFonts w:ascii="Times New Roman" w:eastAsia="Times New Roman" w:hAnsi="Times New Roman" w:cs="Times New Roman"/>
          <w:i/>
          <w:sz w:val="21"/>
          <w:szCs w:val="21"/>
        </w:rPr>
      </w:pPr>
    </w:p>
    <w:p w14:paraId="2F01FE94" w14:textId="77777777" w:rsidR="00B95F67" w:rsidRPr="00331346" w:rsidRDefault="005C6FE1">
      <w:pPr>
        <w:tabs>
          <w:tab w:val="left" w:pos="36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The student will be in a grade when the Forward Exam is given.  Students in grades 3-8 will participate in English language arts (ELA) and mathematics. Science is administered in grades 4 and 8. Social Studies is administered in grades 4, 8, and 10. The student will be taking general education assessments</w:t>
      </w:r>
      <w:r w:rsidRPr="00331346">
        <w:rPr>
          <w:rFonts w:ascii="Times New Roman" w:eastAsia="Times New Roman" w:hAnsi="Times New Roman" w:cs="Times New Roman"/>
          <w:sz w:val="21"/>
          <w:szCs w:val="21"/>
          <w:vertAlign w:val="superscript"/>
        </w:rPr>
        <w:t>1</w:t>
      </w:r>
      <w:r w:rsidRPr="00331346">
        <w:rPr>
          <w:rFonts w:ascii="Times New Roman" w:eastAsia="Times New Roman" w:hAnsi="Times New Roman" w:cs="Times New Roman"/>
          <w:sz w:val="21"/>
          <w:szCs w:val="21"/>
        </w:rPr>
        <w:t xml:space="preserve"> for all content areas required at this grade level. </w:t>
      </w:r>
    </w:p>
    <w:p w14:paraId="7A904BBA" w14:textId="77777777" w:rsidR="00B95F67" w:rsidRPr="00331346" w:rsidRDefault="00B95F67">
      <w:pPr>
        <w:tabs>
          <w:tab w:val="left" w:pos="1200"/>
        </w:tabs>
        <w:ind w:left="360" w:right="-40" w:hanging="360"/>
        <w:jc w:val="both"/>
        <w:rPr>
          <w:rFonts w:ascii="Times New Roman" w:eastAsia="Times New Roman" w:hAnsi="Times New Roman" w:cs="Times New Roman"/>
          <w:sz w:val="21"/>
          <w:szCs w:val="21"/>
        </w:rPr>
      </w:pPr>
    </w:p>
    <w:p w14:paraId="0CB62838" w14:textId="77777777" w:rsidR="00B95F67" w:rsidRPr="00331346" w:rsidRDefault="005C6FE1">
      <w:pPr>
        <w:tabs>
          <w:tab w:val="left" w:pos="120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The Forward Exam has specific policies and guidance regarding the universal tools, designated supports, and accommodations permitted on the assessments in each content area. Refer to the Forward Exam Accessibility Guide available on the Office of Educational Accountability website (</w:t>
      </w:r>
      <w:hyperlink r:id="rId7">
        <w:r w:rsidRPr="00331346">
          <w:rPr>
            <w:rFonts w:ascii="Times New Roman" w:eastAsia="Times New Roman" w:hAnsi="Times New Roman" w:cs="Times New Roman"/>
            <w:color w:val="000000"/>
            <w:sz w:val="21"/>
            <w:szCs w:val="21"/>
          </w:rPr>
          <w:t>http://dpi.wi.gov/assessment/forward/accommodations</w:t>
        </w:r>
      </w:hyperlink>
      <w:r w:rsidRPr="00331346">
        <w:rPr>
          <w:rFonts w:ascii="Times New Roman" w:eastAsia="Times New Roman" w:hAnsi="Times New Roman" w:cs="Times New Roman"/>
          <w:sz w:val="21"/>
          <w:szCs w:val="21"/>
        </w:rPr>
        <w:t xml:space="preserve">) for the current accommodation policies. It is important to note that while some accommodations or supports may be appropriate for instructional use, they may not be appropriate for use on a standardized assessment. </w:t>
      </w:r>
    </w:p>
    <w:p w14:paraId="43319362" w14:textId="77777777" w:rsidR="00B95F67" w:rsidRPr="00331346" w:rsidRDefault="00B95F67">
      <w:pPr>
        <w:tabs>
          <w:tab w:val="left" w:pos="1200"/>
        </w:tabs>
        <w:ind w:left="360" w:right="-40" w:hanging="360"/>
        <w:jc w:val="both"/>
        <w:rPr>
          <w:rFonts w:ascii="Times New Roman" w:eastAsia="Times New Roman" w:hAnsi="Times New Roman" w:cs="Times New Roman"/>
          <w:sz w:val="21"/>
          <w:szCs w:val="21"/>
        </w:rPr>
      </w:pPr>
    </w:p>
    <w:p w14:paraId="5FEFE26D" w14:textId="77777777" w:rsidR="00B95F67" w:rsidRPr="00331346" w:rsidRDefault="005C6FE1">
      <w:pPr>
        <w:tabs>
          <w:tab w:val="left" w:pos="1200"/>
        </w:tabs>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 xml:space="preserve">Universal tools are available to all students. These tools </w:t>
      </w:r>
      <w:r w:rsidRPr="00331346">
        <w:rPr>
          <w:rFonts w:ascii="Times New Roman" w:eastAsia="Times New Roman" w:hAnsi="Times New Roman" w:cs="Times New Roman"/>
          <w:b/>
          <w:sz w:val="21"/>
          <w:szCs w:val="21"/>
        </w:rPr>
        <w:t>cannot</w:t>
      </w:r>
      <w:r w:rsidRPr="00331346">
        <w:rPr>
          <w:rFonts w:ascii="Times New Roman" w:eastAsia="Times New Roman" w:hAnsi="Times New Roman" w:cs="Times New Roman"/>
          <w:sz w:val="21"/>
          <w:szCs w:val="21"/>
        </w:rPr>
        <w:t xml:space="preserve"> be turned off on an individual basis and therefore all students should be familiar with their use. </w:t>
      </w:r>
    </w:p>
    <w:p w14:paraId="10CE68E9" w14:textId="77777777" w:rsidR="00B95F67" w:rsidRPr="00331346" w:rsidRDefault="00B95F67">
      <w:pPr>
        <w:tabs>
          <w:tab w:val="left" w:pos="1200"/>
        </w:tabs>
        <w:ind w:left="360" w:right="-40" w:hanging="360"/>
        <w:jc w:val="both"/>
        <w:rPr>
          <w:rFonts w:ascii="Times New Roman" w:eastAsia="Times New Roman" w:hAnsi="Times New Roman" w:cs="Times New Roman"/>
          <w:sz w:val="21"/>
          <w:szCs w:val="21"/>
        </w:rPr>
      </w:pPr>
    </w:p>
    <w:p w14:paraId="599B690B" w14:textId="77777777" w:rsidR="00B95F67" w:rsidRPr="00331346" w:rsidRDefault="005C6FE1">
      <w:pPr>
        <w:tabs>
          <w:tab w:val="left" w:pos="1200"/>
        </w:tabs>
        <w:ind w:left="360" w:right="-40" w:hanging="360"/>
        <w:jc w:val="both"/>
        <w:rPr>
          <w:rFonts w:ascii="Times New Roman" w:eastAsia="Times New Roman" w:hAnsi="Times New Roman" w:cs="Times New Roman"/>
          <w:b/>
          <w:sz w:val="21"/>
          <w:szCs w:val="21"/>
        </w:rPr>
      </w:pPr>
      <w:r w:rsidRPr="00331346">
        <w:rPr>
          <w:rFonts w:ascii="Times New Roman" w:eastAsia="Times New Roman" w:hAnsi="Times New Roman" w:cs="Times New Roman"/>
          <w:b/>
          <w:sz w:val="21"/>
          <w:szCs w:val="21"/>
        </w:rPr>
        <w:t>Section A: Designated Supports</w:t>
      </w:r>
    </w:p>
    <w:p w14:paraId="3A199FE4" w14:textId="77777777" w:rsidR="00B95F67" w:rsidRPr="00331346" w:rsidRDefault="005C6FE1">
      <w:pPr>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color w:val="000000"/>
          <w:sz w:val="21"/>
          <w:szCs w:val="21"/>
        </w:rPr>
        <w:t>Designated supports are also available for any student for whom the need has been indicated and are a part of their classroom instruction. Refer to the Forward Exam Accessibility Guide for information about allowable designated supports. Please list any designated supports that may be required for the student at the time of testing:</w:t>
      </w:r>
    </w:p>
    <w:p w14:paraId="0417BFF4" w14:textId="77777777" w:rsidR="00B95F67" w:rsidRPr="00331346" w:rsidRDefault="00B95F67">
      <w:pPr>
        <w:ind w:right="-40"/>
        <w:jc w:val="both"/>
        <w:rPr>
          <w:rFonts w:ascii="Times New Roman" w:eastAsia="Times New Roman" w:hAnsi="Times New Roman" w:cs="Times New Roman"/>
          <w:sz w:val="21"/>
          <w:szCs w:val="21"/>
        </w:rPr>
      </w:pPr>
    </w:p>
    <w:p w14:paraId="1E2BAA1E" w14:textId="77777777" w:rsidR="00B95F67" w:rsidRPr="00331346" w:rsidRDefault="00B95F67">
      <w:pPr>
        <w:ind w:right="-40"/>
        <w:jc w:val="both"/>
        <w:rPr>
          <w:rFonts w:ascii="Times New Roman" w:eastAsia="Times New Roman" w:hAnsi="Times New Roman" w:cs="Times New Roman"/>
          <w:sz w:val="21"/>
          <w:szCs w:val="21"/>
        </w:rPr>
      </w:pPr>
    </w:p>
    <w:p w14:paraId="40DE750E" w14:textId="5389352D" w:rsidR="00B95F67" w:rsidRPr="00331346" w:rsidRDefault="005C6FE1" w:rsidP="00D80FC0">
      <w:pPr>
        <w:rPr>
          <w:rFonts w:ascii="Times New Roman" w:eastAsia="Times New Roman" w:hAnsi="Times New Roman" w:cs="Times New Roman"/>
          <w:b/>
          <w:sz w:val="21"/>
          <w:szCs w:val="21"/>
        </w:rPr>
      </w:pPr>
      <w:r w:rsidRPr="00331346">
        <w:rPr>
          <w:rFonts w:ascii="Times New Roman" w:eastAsia="Times New Roman" w:hAnsi="Times New Roman" w:cs="Times New Roman"/>
          <w:b/>
          <w:sz w:val="21"/>
          <w:szCs w:val="21"/>
        </w:rPr>
        <w:t xml:space="preserve">Section B: Accommodations </w:t>
      </w:r>
    </w:p>
    <w:p w14:paraId="313D774C" w14:textId="77777777" w:rsidR="00B95F67" w:rsidRPr="00331346" w:rsidRDefault="005C6FE1">
      <w:pPr>
        <w:ind w:right="-40"/>
        <w:jc w:val="both"/>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 xml:space="preserve">Accommodations are available if the need is documented </w:t>
      </w:r>
      <w:proofErr w:type="gramStart"/>
      <w:r w:rsidRPr="00331346">
        <w:rPr>
          <w:rFonts w:ascii="Times New Roman" w:eastAsia="Times New Roman" w:hAnsi="Times New Roman" w:cs="Times New Roman"/>
          <w:sz w:val="21"/>
          <w:szCs w:val="21"/>
        </w:rPr>
        <w:t>below</w:t>
      </w:r>
      <w:proofErr w:type="gramEnd"/>
      <w:r w:rsidRPr="00331346">
        <w:rPr>
          <w:rFonts w:ascii="Times New Roman" w:eastAsia="Times New Roman" w:hAnsi="Times New Roman" w:cs="Times New Roman"/>
          <w:sz w:val="21"/>
          <w:szCs w:val="21"/>
        </w:rPr>
        <w:t xml:space="preserve"> and the student uses a similar accommodation as part of their classroom instruction (complete all applicable charts). Refer to the Forward Exam Accessibility Guide for information about allowable accommodations. </w:t>
      </w:r>
    </w:p>
    <w:p w14:paraId="1E1676F4" w14:textId="77777777" w:rsidR="00B95F67" w:rsidRPr="00331346" w:rsidRDefault="00B95F67">
      <w:pPr>
        <w:tabs>
          <w:tab w:val="left" w:pos="1200"/>
        </w:tabs>
        <w:ind w:left="360" w:right="-40"/>
        <w:rPr>
          <w:rFonts w:ascii="Times New Roman" w:eastAsia="Times New Roman" w:hAnsi="Times New Roman" w:cs="Times New Roman"/>
          <w:sz w:val="21"/>
          <w:szCs w:val="21"/>
        </w:rPr>
      </w:pPr>
    </w:p>
    <w:tbl>
      <w:tblPr>
        <w:tblStyle w:val="a"/>
        <w:tblW w:w="999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913"/>
        <w:gridCol w:w="1890"/>
        <w:gridCol w:w="6187"/>
      </w:tblGrid>
      <w:tr w:rsidR="00B95F67" w:rsidRPr="00331346" w14:paraId="358698CB" w14:textId="77777777">
        <w:trPr>
          <w:trHeight w:val="1654"/>
        </w:trPr>
        <w:tc>
          <w:tcPr>
            <w:tcW w:w="1913" w:type="dxa"/>
            <w:shd w:val="clear" w:color="auto" w:fill="E6E6E6"/>
          </w:tcPr>
          <w:p w14:paraId="5EDE2809"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English language arts</w:t>
            </w:r>
          </w:p>
          <w:p w14:paraId="0BB2C05B"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3-8)</w:t>
            </w:r>
          </w:p>
          <w:p w14:paraId="638A29CA" w14:textId="77777777" w:rsidR="00B95F67" w:rsidRPr="00331346" w:rsidRDefault="00B95F67">
            <w:pPr>
              <w:tabs>
                <w:tab w:val="left" w:pos="1200"/>
              </w:tabs>
              <w:ind w:right="-43"/>
              <w:rPr>
                <w:rFonts w:ascii="Times New Roman" w:eastAsia="Times New Roman" w:hAnsi="Times New Roman" w:cs="Times New Roman"/>
                <w:sz w:val="21"/>
                <w:szCs w:val="21"/>
              </w:rPr>
            </w:pPr>
          </w:p>
        </w:tc>
        <w:tc>
          <w:tcPr>
            <w:tcW w:w="1890" w:type="dxa"/>
          </w:tcPr>
          <w:p w14:paraId="46721634" w14:textId="77777777" w:rsidR="00B95F67" w:rsidRPr="00331346" w:rsidRDefault="005C6FE1">
            <w:pPr>
              <w:tabs>
                <w:tab w:val="left" w:pos="1200"/>
              </w:tabs>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ELA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Pr>
          <w:p w14:paraId="21CAB158"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ELA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78023862" w14:textId="77777777" w:rsidR="00B95F67" w:rsidRPr="00331346" w:rsidRDefault="00B95F67">
            <w:pPr>
              <w:tabs>
                <w:tab w:val="left" w:pos="1200"/>
              </w:tabs>
              <w:ind w:right="-43"/>
              <w:rPr>
                <w:rFonts w:ascii="Times New Roman" w:eastAsia="Times New Roman" w:hAnsi="Times New Roman" w:cs="Times New Roman"/>
                <w:sz w:val="21"/>
                <w:szCs w:val="21"/>
              </w:rPr>
            </w:pPr>
          </w:p>
          <w:p w14:paraId="083A0962" w14:textId="77777777" w:rsidR="00B95F67" w:rsidRPr="00331346" w:rsidRDefault="00B95F67">
            <w:pPr>
              <w:tabs>
                <w:tab w:val="left" w:pos="1200"/>
              </w:tabs>
              <w:ind w:right="-43"/>
              <w:rPr>
                <w:rFonts w:ascii="Times New Roman" w:eastAsia="Times New Roman" w:hAnsi="Times New Roman" w:cs="Times New Roman"/>
                <w:sz w:val="21"/>
                <w:szCs w:val="21"/>
              </w:rPr>
            </w:pPr>
          </w:p>
        </w:tc>
      </w:tr>
      <w:tr w:rsidR="00B95F67" w:rsidRPr="00331346" w14:paraId="7C67728F" w14:textId="77777777">
        <w:trPr>
          <w:trHeight w:val="1537"/>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07A07353"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Mathematics</w:t>
            </w:r>
          </w:p>
          <w:p w14:paraId="3174E6E2"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3-8)</w:t>
            </w:r>
          </w:p>
        </w:tc>
        <w:tc>
          <w:tcPr>
            <w:tcW w:w="1890" w:type="dxa"/>
            <w:tcBorders>
              <w:top w:val="single" w:sz="4" w:space="0" w:color="C0C0C0"/>
              <w:left w:val="single" w:sz="4" w:space="0" w:color="C0C0C0"/>
              <w:bottom w:val="single" w:sz="4" w:space="0" w:color="C0C0C0"/>
              <w:right w:val="single" w:sz="4" w:space="0" w:color="C0C0C0"/>
            </w:tcBorders>
          </w:tcPr>
          <w:p w14:paraId="6CCA3AA0" w14:textId="77777777" w:rsidR="00B95F67" w:rsidRPr="00331346" w:rsidRDefault="005C6FE1">
            <w:pPr>
              <w:tabs>
                <w:tab w:val="left" w:pos="1200"/>
              </w:tabs>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Mathematics </w:t>
            </w:r>
            <w:r w:rsidRPr="00331346">
              <w:rPr>
                <w:rFonts w:ascii="Times New Roman" w:eastAsia="Times New Roman" w:hAnsi="Times New Roman" w:cs="Times New Roman"/>
                <w:b/>
                <w:sz w:val="21"/>
                <w:szCs w:val="21"/>
              </w:rPr>
              <w:t xml:space="preserve">without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2537F3C1"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Mathematics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6E8EEEAE" w14:textId="77777777" w:rsidR="00B95F67" w:rsidRPr="00331346" w:rsidRDefault="00B95F67">
            <w:pPr>
              <w:tabs>
                <w:tab w:val="left" w:pos="1200"/>
              </w:tabs>
              <w:ind w:right="-43"/>
              <w:rPr>
                <w:rFonts w:ascii="Times New Roman" w:eastAsia="Times New Roman" w:hAnsi="Times New Roman" w:cs="Times New Roman"/>
                <w:sz w:val="21"/>
                <w:szCs w:val="21"/>
              </w:rPr>
            </w:pPr>
          </w:p>
        </w:tc>
      </w:tr>
      <w:tr w:rsidR="00B95F67" w:rsidRPr="00331346" w14:paraId="415C01AB" w14:textId="77777777">
        <w:trPr>
          <w:trHeight w:val="1627"/>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27A2C0C7"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Science</w:t>
            </w:r>
          </w:p>
          <w:p w14:paraId="29CA4A44"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4 and 8)</w:t>
            </w:r>
          </w:p>
        </w:tc>
        <w:tc>
          <w:tcPr>
            <w:tcW w:w="1890" w:type="dxa"/>
            <w:tcBorders>
              <w:top w:val="single" w:sz="4" w:space="0" w:color="C0C0C0"/>
              <w:left w:val="single" w:sz="4" w:space="0" w:color="C0C0C0"/>
              <w:bottom w:val="single" w:sz="4" w:space="0" w:color="C0C0C0"/>
              <w:right w:val="single" w:sz="4" w:space="0" w:color="C0C0C0"/>
            </w:tcBorders>
          </w:tcPr>
          <w:p w14:paraId="508FE07A" w14:textId="77777777" w:rsidR="00B95F67" w:rsidRPr="00331346" w:rsidRDefault="005C6FE1">
            <w:pPr>
              <w:tabs>
                <w:tab w:val="left" w:pos="1200"/>
              </w:tabs>
              <w:ind w:right="-40"/>
              <w:rPr>
                <w:rFonts w:ascii="Times New Roman" w:eastAsia="Times New Roman" w:hAnsi="Times New Roman" w:cs="Times New Roman"/>
                <w:sz w:val="21"/>
                <w:szCs w:val="21"/>
                <w:u w:val="single"/>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Science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3AA396FD" w14:textId="77777777" w:rsidR="00B95F67" w:rsidRPr="00331346" w:rsidRDefault="005C6FE1">
            <w:pPr>
              <w:tabs>
                <w:tab w:val="left" w:pos="1200"/>
              </w:tabs>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Science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30E44C9D" w14:textId="77777777" w:rsidR="00B95F67" w:rsidRPr="00331346" w:rsidRDefault="00B95F67">
            <w:pPr>
              <w:tabs>
                <w:tab w:val="left" w:pos="1200"/>
              </w:tabs>
              <w:ind w:right="-40"/>
              <w:rPr>
                <w:rFonts w:ascii="Times New Roman" w:eastAsia="Times New Roman" w:hAnsi="Times New Roman" w:cs="Times New Roman"/>
                <w:sz w:val="21"/>
                <w:szCs w:val="21"/>
              </w:rPr>
            </w:pPr>
          </w:p>
        </w:tc>
      </w:tr>
      <w:tr w:rsidR="00B95F67" w14:paraId="2F45C071" w14:textId="77777777">
        <w:trPr>
          <w:trHeight w:val="1537"/>
        </w:trPr>
        <w:tc>
          <w:tcPr>
            <w:tcW w:w="1913" w:type="dxa"/>
            <w:tcBorders>
              <w:top w:val="single" w:sz="4" w:space="0" w:color="C0C0C0"/>
              <w:left w:val="single" w:sz="4" w:space="0" w:color="C0C0C0"/>
              <w:bottom w:val="single" w:sz="4" w:space="0" w:color="C0C0C0"/>
              <w:right w:val="single" w:sz="4" w:space="0" w:color="C0C0C0"/>
            </w:tcBorders>
            <w:shd w:val="clear" w:color="auto" w:fill="E6E6E6"/>
          </w:tcPr>
          <w:p w14:paraId="01B8E6C6"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Social Studies</w:t>
            </w:r>
          </w:p>
          <w:p w14:paraId="2D79F1C1" w14:textId="77777777" w:rsidR="00B95F67" w:rsidRPr="00331346" w:rsidRDefault="005C6FE1">
            <w:pPr>
              <w:tabs>
                <w:tab w:val="left" w:pos="1200"/>
              </w:tabs>
              <w:ind w:right="-43"/>
              <w:rPr>
                <w:rFonts w:ascii="Times New Roman" w:eastAsia="Times New Roman" w:hAnsi="Times New Roman" w:cs="Times New Roman"/>
                <w:sz w:val="21"/>
                <w:szCs w:val="21"/>
              </w:rPr>
            </w:pPr>
            <w:r w:rsidRPr="00331346">
              <w:rPr>
                <w:rFonts w:ascii="Times New Roman" w:eastAsia="Times New Roman" w:hAnsi="Times New Roman" w:cs="Times New Roman"/>
                <w:sz w:val="21"/>
                <w:szCs w:val="21"/>
              </w:rPr>
              <w:t>(grades 4, 8 and 10)</w:t>
            </w:r>
          </w:p>
        </w:tc>
        <w:tc>
          <w:tcPr>
            <w:tcW w:w="1890" w:type="dxa"/>
            <w:tcBorders>
              <w:top w:val="single" w:sz="4" w:space="0" w:color="C0C0C0"/>
              <w:left w:val="single" w:sz="4" w:space="0" w:color="C0C0C0"/>
              <w:bottom w:val="single" w:sz="4" w:space="0" w:color="C0C0C0"/>
              <w:right w:val="single" w:sz="4" w:space="0" w:color="C0C0C0"/>
            </w:tcBorders>
          </w:tcPr>
          <w:p w14:paraId="3A3C38F5" w14:textId="77777777" w:rsidR="00B95F67" w:rsidRPr="00331346" w:rsidRDefault="005C6FE1">
            <w:pPr>
              <w:tabs>
                <w:tab w:val="left" w:pos="1200"/>
              </w:tabs>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Social Studies </w:t>
            </w:r>
            <w:r w:rsidRPr="00331346">
              <w:rPr>
                <w:rFonts w:ascii="Times New Roman" w:eastAsia="Times New Roman" w:hAnsi="Times New Roman" w:cs="Times New Roman"/>
                <w:b/>
                <w:sz w:val="21"/>
                <w:szCs w:val="21"/>
              </w:rPr>
              <w:t>without</w:t>
            </w:r>
            <w:r w:rsidRPr="00331346">
              <w:rPr>
                <w:rFonts w:ascii="Times New Roman" w:eastAsia="Times New Roman" w:hAnsi="Times New Roman" w:cs="Times New Roman"/>
                <w:sz w:val="21"/>
                <w:szCs w:val="21"/>
                <w:u w:val="single"/>
              </w:rPr>
              <w:t xml:space="preserve"> </w:t>
            </w:r>
            <w:r w:rsidRPr="00331346">
              <w:rPr>
                <w:rFonts w:ascii="Times New Roman" w:eastAsia="Times New Roman" w:hAnsi="Times New Roman" w:cs="Times New Roman"/>
                <w:sz w:val="21"/>
                <w:szCs w:val="21"/>
              </w:rPr>
              <w:t>accommodations</w:t>
            </w:r>
          </w:p>
        </w:tc>
        <w:tc>
          <w:tcPr>
            <w:tcW w:w="6187" w:type="dxa"/>
            <w:tcBorders>
              <w:top w:val="single" w:sz="4" w:space="0" w:color="C0C0C0"/>
              <w:left w:val="single" w:sz="4" w:space="0" w:color="C0C0C0"/>
              <w:bottom w:val="single" w:sz="4" w:space="0" w:color="C0C0C0"/>
              <w:right w:val="single" w:sz="4" w:space="0" w:color="C0C0C0"/>
            </w:tcBorders>
          </w:tcPr>
          <w:p w14:paraId="3361D031" w14:textId="77777777" w:rsidR="00B95F67" w:rsidRDefault="005C6FE1">
            <w:pPr>
              <w:tabs>
                <w:tab w:val="left" w:pos="1200"/>
              </w:tabs>
              <w:ind w:right="-40"/>
              <w:rPr>
                <w:rFonts w:ascii="Times New Roman" w:eastAsia="Times New Roman" w:hAnsi="Times New Roman" w:cs="Times New Roman"/>
                <w:sz w:val="21"/>
                <w:szCs w:val="21"/>
              </w:rPr>
            </w:pPr>
            <w:r w:rsidRPr="00331346">
              <w:rPr>
                <w:rFonts w:ascii="Wingdings" w:eastAsia="Wingdings" w:hAnsi="Wingdings" w:cs="Wingdings"/>
                <w:sz w:val="21"/>
                <w:szCs w:val="21"/>
              </w:rPr>
              <w:t>□</w:t>
            </w:r>
            <w:r w:rsidRPr="00331346">
              <w:rPr>
                <w:rFonts w:ascii="Times New Roman" w:eastAsia="Times New Roman" w:hAnsi="Times New Roman" w:cs="Times New Roman"/>
                <w:sz w:val="21"/>
                <w:szCs w:val="21"/>
              </w:rPr>
              <w:t xml:space="preserve"> Social Studies </w:t>
            </w:r>
            <w:r w:rsidRPr="00331346">
              <w:rPr>
                <w:rFonts w:ascii="Times New Roman" w:eastAsia="Times New Roman" w:hAnsi="Times New Roman" w:cs="Times New Roman"/>
                <w:b/>
                <w:sz w:val="21"/>
                <w:szCs w:val="21"/>
              </w:rPr>
              <w:t>with</w:t>
            </w:r>
            <w:r w:rsidRPr="00331346">
              <w:rPr>
                <w:rFonts w:ascii="Times New Roman" w:eastAsia="Times New Roman" w:hAnsi="Times New Roman" w:cs="Times New Roman"/>
                <w:sz w:val="21"/>
                <w:szCs w:val="21"/>
              </w:rPr>
              <w:t xml:space="preserve"> accommodations (list):</w:t>
            </w:r>
          </w:p>
          <w:p w14:paraId="4A7CC2B0" w14:textId="77777777" w:rsidR="00B95F67" w:rsidRDefault="00B95F67">
            <w:pPr>
              <w:tabs>
                <w:tab w:val="left" w:pos="1200"/>
              </w:tabs>
              <w:ind w:right="-40"/>
              <w:rPr>
                <w:rFonts w:ascii="Times New Roman" w:eastAsia="Times New Roman" w:hAnsi="Times New Roman" w:cs="Times New Roman"/>
                <w:sz w:val="21"/>
                <w:szCs w:val="21"/>
              </w:rPr>
            </w:pPr>
          </w:p>
        </w:tc>
      </w:tr>
    </w:tbl>
    <w:p w14:paraId="21F4751C" w14:textId="77777777" w:rsidR="00B95F67" w:rsidRDefault="00B95F67">
      <w:pPr>
        <w:ind w:right="-40"/>
        <w:jc w:val="both"/>
        <w:rPr>
          <w:rFonts w:ascii="Times New Roman" w:eastAsia="Times New Roman" w:hAnsi="Times New Roman" w:cs="Times New Roman"/>
          <w:i/>
          <w:color w:val="000000"/>
        </w:rPr>
      </w:pPr>
    </w:p>
    <w:sectPr w:rsidR="00B95F67">
      <w:headerReference w:type="even" r:id="rId8"/>
      <w:headerReference w:type="default" r:id="rId9"/>
      <w:footerReference w:type="even" r:id="rId10"/>
      <w:footerReference w:type="default" r:id="rId11"/>
      <w:headerReference w:type="first" r:id="rId12"/>
      <w:footerReference w:type="first" r:id="rId13"/>
      <w:pgSz w:w="12240" w:h="15840"/>
      <w:pgMar w:top="1000" w:right="1152" w:bottom="1152" w:left="1152" w:header="720" w:footer="2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20C9" w14:textId="77777777" w:rsidR="00CB0DFF" w:rsidRDefault="005C6FE1">
      <w:r>
        <w:separator/>
      </w:r>
    </w:p>
  </w:endnote>
  <w:endnote w:type="continuationSeparator" w:id="0">
    <w:p w14:paraId="27137069" w14:textId="77777777" w:rsidR="00CB0DFF" w:rsidRDefault="005C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NewCenturySchlbk">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F4DA" w14:textId="77777777" w:rsidR="00B95F67" w:rsidRDefault="00B95F67">
    <w:pPr>
      <w:pBdr>
        <w:top w:val="nil"/>
        <w:left w:val="nil"/>
        <w:bottom w:val="nil"/>
        <w:right w:val="nil"/>
        <w:between w:val="nil"/>
      </w:pBdr>
      <w:tabs>
        <w:tab w:val="center" w:pos="4680"/>
        <w:tab w:val="right" w:pos="9360"/>
      </w:tabs>
      <w:rPr>
        <w:rFonts w:ascii="Century" w:hAnsi="Century" w:cs="Century"/>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F2CE" w14:textId="77777777" w:rsidR="00B95F67" w:rsidRDefault="005C6FE1">
    <w:pPr>
      <w:pBdr>
        <w:top w:val="nil"/>
        <w:left w:val="nil"/>
        <w:bottom w:val="nil"/>
        <w:right w:val="nil"/>
        <w:between w:val="nil"/>
      </w:pBdr>
      <w:tabs>
        <w:tab w:val="center" w:pos="4680"/>
        <w:tab w:val="right" w:pos="9360"/>
      </w:tabs>
      <w:rPr>
        <w:rFonts w:ascii="Century" w:hAnsi="Century" w:cs="Century"/>
        <w:color w:val="000000"/>
      </w:rPr>
    </w:pPr>
    <w:r>
      <w:rPr>
        <w:rFonts w:ascii="Century" w:hAnsi="Century" w:cs="Century"/>
        <w:color w:val="000000"/>
        <w:vertAlign w:val="superscript"/>
      </w:rPr>
      <w:t>1</w:t>
    </w:r>
    <w:r>
      <w:rPr>
        <w:rFonts w:ascii="Century" w:hAnsi="Century" w:cs="Century"/>
        <w:color w:val="000000"/>
      </w:rPr>
      <w:t xml:space="preserve">General Education assessments in Wisconsin assess content reflective of the Wisconsin Academic Standards and the Wisconsin Model Academic Standards.  Students identified as English Learners are required to participate annually in a language assessment.  </w:t>
    </w:r>
  </w:p>
  <w:p w14:paraId="26A6908B" w14:textId="77777777" w:rsidR="00B95F67" w:rsidRDefault="00B95F67">
    <w:pPr>
      <w:pBdr>
        <w:top w:val="nil"/>
        <w:left w:val="nil"/>
        <w:bottom w:val="nil"/>
        <w:right w:val="nil"/>
        <w:between w:val="nil"/>
      </w:pBdr>
      <w:tabs>
        <w:tab w:val="center" w:pos="4680"/>
        <w:tab w:val="right" w:pos="9360"/>
      </w:tabs>
      <w:rPr>
        <w:rFonts w:ascii="Century" w:hAnsi="Century" w:cs="Century"/>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21A3" w14:textId="77777777" w:rsidR="00B95F67" w:rsidRDefault="00B95F67">
    <w:pPr>
      <w:pBdr>
        <w:top w:val="nil"/>
        <w:left w:val="nil"/>
        <w:bottom w:val="nil"/>
        <w:right w:val="nil"/>
        <w:between w:val="nil"/>
      </w:pBdr>
      <w:tabs>
        <w:tab w:val="center" w:pos="4680"/>
        <w:tab w:val="right" w:pos="9360"/>
      </w:tabs>
      <w:rPr>
        <w:rFonts w:ascii="Century" w:hAnsi="Century" w:cs="Century"/>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D86A5" w14:textId="77777777" w:rsidR="00CB0DFF" w:rsidRDefault="005C6FE1">
      <w:r>
        <w:separator/>
      </w:r>
    </w:p>
  </w:footnote>
  <w:footnote w:type="continuationSeparator" w:id="0">
    <w:p w14:paraId="281F5286" w14:textId="77777777" w:rsidR="00CB0DFF" w:rsidRDefault="005C6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E7F" w14:textId="77777777" w:rsidR="00B95F67" w:rsidRDefault="00B95F67">
    <w:pPr>
      <w:pBdr>
        <w:top w:val="nil"/>
        <w:left w:val="nil"/>
        <w:bottom w:val="nil"/>
        <w:right w:val="nil"/>
        <w:between w:val="nil"/>
      </w:pBdr>
      <w:tabs>
        <w:tab w:val="center" w:pos="4680"/>
        <w:tab w:val="right" w:pos="9360"/>
      </w:tabs>
      <w:rPr>
        <w:rFonts w:ascii="Century" w:hAnsi="Century" w:cs="Century"/>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6C8C" w14:textId="77777777" w:rsidR="00B95F67" w:rsidRPr="00331346" w:rsidRDefault="005C6FE1">
    <w:pPr>
      <w:tabs>
        <w:tab w:val="left" w:pos="5800"/>
      </w:tabs>
      <w:rPr>
        <w:rFonts w:ascii="Arial" w:eastAsia="Arial" w:hAnsi="Arial" w:cs="Arial"/>
        <w:b/>
        <w:i/>
      </w:rPr>
    </w:pPr>
    <w:r w:rsidRPr="00331346">
      <w:rPr>
        <w:rFonts w:ascii="Arial" w:eastAsia="Arial" w:hAnsi="Arial" w:cs="Arial"/>
        <w:b/>
      </w:rPr>
      <w:t>INDIVIDUALIZED EDUCATION PROGRAM:</w:t>
    </w:r>
    <w:r w:rsidRPr="00331346">
      <w:rPr>
        <w:rFonts w:ascii="Arial" w:eastAsia="Arial" w:hAnsi="Arial" w:cs="Arial"/>
        <w:b/>
      </w:rPr>
      <w:tab/>
    </w:r>
    <w:r w:rsidRPr="00331346">
      <w:rPr>
        <w:rFonts w:ascii="Arial" w:eastAsia="Arial" w:hAnsi="Arial" w:cs="Arial"/>
        <w:b/>
        <w:i/>
      </w:rPr>
      <w:t xml:space="preserve">To be completed for students participating </w:t>
    </w:r>
  </w:p>
  <w:p w14:paraId="0B8BFDD2" w14:textId="77777777" w:rsidR="00B95F67" w:rsidRPr="00331346" w:rsidRDefault="005C6FE1">
    <w:pPr>
      <w:tabs>
        <w:tab w:val="left" w:pos="5800"/>
      </w:tabs>
      <w:rPr>
        <w:rFonts w:ascii="Arial" w:eastAsia="Arial" w:hAnsi="Arial" w:cs="Arial"/>
        <w:b/>
        <w:sz w:val="22"/>
        <w:szCs w:val="22"/>
      </w:rPr>
    </w:pPr>
    <w:r w:rsidRPr="00331346">
      <w:rPr>
        <w:rFonts w:ascii="Arial" w:eastAsia="Arial" w:hAnsi="Arial" w:cs="Arial"/>
        <w:b/>
      </w:rPr>
      <w:t>PARTICIPATION IN STATEWIDE ASSESSMENTS</w:t>
    </w:r>
    <w:r w:rsidRPr="00331346">
      <w:rPr>
        <w:rFonts w:ascii="Arial" w:eastAsia="Arial" w:hAnsi="Arial" w:cs="Arial"/>
        <w:b/>
      </w:rPr>
      <w:tab/>
    </w:r>
    <w:r w:rsidRPr="00331346">
      <w:rPr>
        <w:rFonts w:ascii="Arial" w:eastAsia="Arial" w:hAnsi="Arial" w:cs="Arial"/>
        <w:b/>
        <w:i/>
      </w:rPr>
      <w:t>in the Forward Exam</w:t>
    </w:r>
  </w:p>
  <w:p w14:paraId="1495154B" w14:textId="77777777" w:rsidR="00B95F67" w:rsidRDefault="005C6FE1">
    <w:pPr>
      <w:rPr>
        <w:rFonts w:ascii="Arial" w:eastAsia="Arial" w:hAnsi="Arial" w:cs="Arial"/>
        <w:b/>
        <w:sz w:val="16"/>
        <w:szCs w:val="16"/>
      </w:rPr>
    </w:pPr>
    <w:r w:rsidRPr="00331346">
      <w:rPr>
        <w:rFonts w:ascii="Arial" w:eastAsia="Arial" w:hAnsi="Arial" w:cs="Arial"/>
        <w:b/>
        <w:sz w:val="16"/>
        <w:szCs w:val="16"/>
      </w:rPr>
      <w:t>Form I-7 Forward (Rev 05/2022)</w:t>
    </w:r>
  </w:p>
  <w:p w14:paraId="365E93F8" w14:textId="77777777" w:rsidR="00B95F67" w:rsidRDefault="00B95F67">
    <w:pPr>
      <w:pBdr>
        <w:top w:val="nil"/>
        <w:left w:val="nil"/>
        <w:bottom w:val="nil"/>
        <w:right w:val="nil"/>
        <w:between w:val="nil"/>
      </w:pBdr>
      <w:tabs>
        <w:tab w:val="center" w:pos="4680"/>
        <w:tab w:val="right" w:pos="9360"/>
      </w:tabs>
      <w:rPr>
        <w:rFonts w:ascii="Century" w:hAnsi="Century" w:cs="Century"/>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E62B" w14:textId="77777777" w:rsidR="00B95F67" w:rsidRDefault="00B95F67">
    <w:pPr>
      <w:pBdr>
        <w:top w:val="nil"/>
        <w:left w:val="nil"/>
        <w:bottom w:val="nil"/>
        <w:right w:val="nil"/>
        <w:between w:val="nil"/>
      </w:pBdr>
      <w:tabs>
        <w:tab w:val="center" w:pos="4680"/>
        <w:tab w:val="right" w:pos="9360"/>
      </w:tabs>
      <w:rPr>
        <w:rFonts w:ascii="Century" w:hAnsi="Century" w:cs="Century"/>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67"/>
    <w:rsid w:val="00331346"/>
    <w:rsid w:val="00423594"/>
    <w:rsid w:val="005C6FE1"/>
    <w:rsid w:val="00B95F67"/>
    <w:rsid w:val="00CB0DFF"/>
    <w:rsid w:val="00D8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CD026"/>
  <w15:docId w15:val="{5823B1F7-602C-47EC-ACD1-80624DC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Century" w:hAnsi="Century" w:cs="Centur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773"/>
    <w:rPr>
      <w:rFonts w:ascii="NewCenturySchlbk" w:hAnsi="NewCenturySchlbk" w:cs="NewCenturySchlb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752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CF1"/>
    <w:rPr>
      <w:rFonts w:ascii="Tahoma" w:hAnsi="Tahoma" w:cs="Tahoma"/>
      <w:sz w:val="16"/>
      <w:szCs w:val="16"/>
    </w:rPr>
  </w:style>
  <w:style w:type="character" w:styleId="Emphasis">
    <w:name w:val="Emphasis"/>
    <w:uiPriority w:val="20"/>
    <w:qFormat/>
    <w:rsid w:val="00E53616"/>
    <w:rPr>
      <w:i/>
      <w:iCs/>
    </w:rPr>
  </w:style>
  <w:style w:type="character" w:customStyle="1" w:styleId="apple-converted-space">
    <w:name w:val="apple-converted-space"/>
    <w:basedOn w:val="DefaultParagraphFont"/>
    <w:rsid w:val="00E53616"/>
  </w:style>
  <w:style w:type="paragraph" w:styleId="Header">
    <w:name w:val="header"/>
    <w:basedOn w:val="Normal"/>
    <w:link w:val="HeaderChar"/>
    <w:uiPriority w:val="99"/>
    <w:unhideWhenUsed/>
    <w:rsid w:val="0065445D"/>
    <w:pPr>
      <w:tabs>
        <w:tab w:val="center" w:pos="4680"/>
        <w:tab w:val="right" w:pos="9360"/>
      </w:tabs>
    </w:pPr>
  </w:style>
  <w:style w:type="character" w:customStyle="1" w:styleId="HeaderChar">
    <w:name w:val="Header Char"/>
    <w:link w:val="Header"/>
    <w:uiPriority w:val="99"/>
    <w:rsid w:val="0065445D"/>
    <w:rPr>
      <w:rFonts w:ascii="NewCenturySchlbk" w:hAnsi="NewCenturySchlbk" w:cs="NewCenturySchlbk"/>
    </w:rPr>
  </w:style>
  <w:style w:type="paragraph" w:styleId="Footer">
    <w:name w:val="footer"/>
    <w:basedOn w:val="Normal"/>
    <w:link w:val="FooterChar"/>
    <w:uiPriority w:val="99"/>
    <w:unhideWhenUsed/>
    <w:rsid w:val="0065445D"/>
    <w:pPr>
      <w:tabs>
        <w:tab w:val="center" w:pos="4680"/>
        <w:tab w:val="right" w:pos="9360"/>
      </w:tabs>
    </w:pPr>
  </w:style>
  <w:style w:type="character" w:customStyle="1" w:styleId="FooterChar">
    <w:name w:val="Footer Char"/>
    <w:link w:val="Footer"/>
    <w:uiPriority w:val="99"/>
    <w:rsid w:val="0065445D"/>
    <w:rPr>
      <w:rFonts w:ascii="NewCenturySchlbk" w:hAnsi="NewCenturySchlbk" w:cs="NewCenturySchlbk"/>
    </w:rPr>
  </w:style>
  <w:style w:type="character" w:styleId="Hyperlink">
    <w:name w:val="Hyperlink"/>
    <w:basedOn w:val="DefaultParagraphFont"/>
    <w:uiPriority w:val="99"/>
    <w:unhideWhenUsed/>
    <w:rsid w:val="009E3D80"/>
    <w:rPr>
      <w:color w:val="0563C1" w:themeColor="hyperlink"/>
      <w:u w:val="single"/>
    </w:rPr>
  </w:style>
  <w:style w:type="character" w:styleId="CommentReference">
    <w:name w:val="annotation reference"/>
    <w:basedOn w:val="DefaultParagraphFont"/>
    <w:uiPriority w:val="99"/>
    <w:semiHidden/>
    <w:unhideWhenUsed/>
    <w:rsid w:val="004C4A93"/>
    <w:rPr>
      <w:sz w:val="16"/>
      <w:szCs w:val="16"/>
    </w:rPr>
  </w:style>
  <w:style w:type="paragraph" w:styleId="CommentText">
    <w:name w:val="annotation text"/>
    <w:basedOn w:val="Normal"/>
    <w:link w:val="CommentTextChar"/>
    <w:uiPriority w:val="99"/>
    <w:semiHidden/>
    <w:unhideWhenUsed/>
    <w:rsid w:val="004C4A93"/>
  </w:style>
  <w:style w:type="character" w:customStyle="1" w:styleId="CommentTextChar">
    <w:name w:val="Comment Text Char"/>
    <w:basedOn w:val="DefaultParagraphFont"/>
    <w:link w:val="CommentText"/>
    <w:uiPriority w:val="99"/>
    <w:semiHidden/>
    <w:rsid w:val="004C4A93"/>
    <w:rPr>
      <w:rFonts w:ascii="NewCenturySchlbk" w:hAnsi="NewCenturySchlbk" w:cs="NewCenturySchlbk"/>
    </w:rPr>
  </w:style>
  <w:style w:type="paragraph" w:styleId="CommentSubject">
    <w:name w:val="annotation subject"/>
    <w:basedOn w:val="CommentText"/>
    <w:next w:val="CommentText"/>
    <w:link w:val="CommentSubjectChar"/>
    <w:uiPriority w:val="99"/>
    <w:semiHidden/>
    <w:unhideWhenUsed/>
    <w:rsid w:val="004C4A93"/>
    <w:rPr>
      <w:b/>
      <w:bCs/>
    </w:rPr>
  </w:style>
  <w:style w:type="character" w:customStyle="1" w:styleId="CommentSubjectChar">
    <w:name w:val="Comment Subject Char"/>
    <w:basedOn w:val="CommentTextChar"/>
    <w:link w:val="CommentSubject"/>
    <w:uiPriority w:val="99"/>
    <w:semiHidden/>
    <w:rsid w:val="004C4A93"/>
    <w:rPr>
      <w:rFonts w:ascii="NewCenturySchlbk" w:hAnsi="NewCenturySchlbk" w:cs="NewCenturySchlbk"/>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dpi.wi.gov/assessment/forward/accommod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WTngVNEY5KPcru7TrzCLEIfgnw==">AMUW2mXiNnaUEci2Os0RiKnX6aXJ11c+w7j33y3cf9/d1GQv8sKNK6DqqKXyTwuhCev5yZmi8B+akCD0RBOkqY82w41Z+a97/I6VUa1ji9Q6Ojhwqnp0q24=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Burton;Molly Bever;Christina Spector</dc:creator>
  <cp:lastModifiedBy>McNamara, Ryan P. DPI</cp:lastModifiedBy>
  <cp:revision>3</cp:revision>
  <dcterms:created xsi:type="dcterms:W3CDTF">2023-06-19T16:02:00Z</dcterms:created>
  <dcterms:modified xsi:type="dcterms:W3CDTF">2023-06-19T16:02:00Z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