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3CC3" w14:textId="77777777" w:rsidR="009808C1" w:rsidRDefault="009808C1" w:rsidP="009808C1">
      <w:pPr>
        <w:pStyle w:val="Heading2"/>
      </w:pPr>
    </w:p>
    <w:p w14:paraId="3ED5D889" w14:textId="77777777" w:rsidR="009808C1" w:rsidRDefault="009808C1" w:rsidP="009808C1">
      <w:pPr>
        <w:pStyle w:val="Heading1"/>
      </w:pPr>
      <w:r>
        <w:t xml:space="preserve">MW S&amp;CNP:  SA 05-1        </w:t>
      </w:r>
      <w:r>
        <w:tab/>
      </w:r>
      <w:r>
        <w:tab/>
      </w:r>
      <w:r>
        <w:tab/>
      </w:r>
      <w:r>
        <w:tab/>
      </w:r>
      <w:r>
        <w:tab/>
      </w:r>
      <w:r>
        <w:tab/>
      </w:r>
      <w:r>
        <w:tab/>
        <w:t>January 15, 2003</w:t>
      </w:r>
    </w:p>
    <w:p w14:paraId="2CE0D57D" w14:textId="77777777" w:rsidR="009808C1" w:rsidRDefault="009808C1" w:rsidP="009808C1"/>
    <w:p w14:paraId="486AEE75" w14:textId="77777777" w:rsidR="009808C1" w:rsidRDefault="009808C1" w:rsidP="009808C1">
      <w:pPr>
        <w:pStyle w:val="BodyTextIndent"/>
      </w:pPr>
    </w:p>
    <w:p w14:paraId="494AD45F" w14:textId="77777777" w:rsidR="009808C1" w:rsidRDefault="009808C1" w:rsidP="009808C1">
      <w:pPr>
        <w:pStyle w:val="Heading1"/>
        <w:tabs>
          <w:tab w:val="left" w:pos="720"/>
        </w:tabs>
      </w:pPr>
      <w:r>
        <w:t>FY 03 School and Community Nutrition Programs Policy Memorandum  # 03-08</w:t>
      </w:r>
    </w:p>
    <w:p w14:paraId="56C2207E" w14:textId="77777777" w:rsidR="009808C1" w:rsidRDefault="009808C1" w:rsidP="009808C1">
      <w:pPr>
        <w:pStyle w:val="BodyTextIndent"/>
      </w:pPr>
      <w:r>
        <w:t>Clarification Concerning Food Service Management Company (FSMC)</w:t>
      </w:r>
    </w:p>
    <w:p w14:paraId="706575C3" w14:textId="77777777" w:rsidR="009808C1" w:rsidRDefault="009808C1" w:rsidP="009808C1">
      <w:pPr>
        <w:pStyle w:val="BodyTextIndent"/>
      </w:pPr>
      <w:r>
        <w:t xml:space="preserve">Cost Reimbursable Contracts </w:t>
      </w:r>
    </w:p>
    <w:p w14:paraId="7F639A92" w14:textId="77777777" w:rsidR="009808C1" w:rsidRDefault="009808C1" w:rsidP="009808C1"/>
    <w:p w14:paraId="2B2DC010" w14:textId="77777777" w:rsidR="009808C1" w:rsidRDefault="009808C1" w:rsidP="009808C1">
      <w:r>
        <w:t>State Directors</w:t>
      </w:r>
    </w:p>
    <w:p w14:paraId="152DE461" w14:textId="77777777" w:rsidR="009808C1" w:rsidRDefault="009808C1" w:rsidP="009808C1">
      <w:r>
        <w:t>Child Nutrition Programs</w:t>
      </w:r>
    </w:p>
    <w:p w14:paraId="1C9F2A6B" w14:textId="77777777" w:rsidR="009808C1" w:rsidRDefault="009808C1" w:rsidP="009808C1"/>
    <w:p w14:paraId="212B01CC" w14:textId="77777777" w:rsidR="009808C1" w:rsidRDefault="009808C1" w:rsidP="009808C1"/>
    <w:p w14:paraId="09F0A80F" w14:textId="77777777" w:rsidR="009808C1" w:rsidRDefault="009808C1" w:rsidP="009808C1">
      <w:r>
        <w:t xml:space="preserve">The Office of Management and Budget (OMB) has determined that OMB Circular requirements stating that allowable costs must be net of all credits, discounts, and rebates, do </w:t>
      </w:r>
      <w:r>
        <w:rPr>
          <w:b/>
          <w:bCs/>
          <w:u w:val="single"/>
        </w:rPr>
        <w:t>NOT</w:t>
      </w:r>
      <w:r>
        <w:t xml:space="preserve"> apply to the nonprofit school food service account for expenditures resulting from the contracts between the school food authority (SFA) and the FSMC.  This is a departure from our previous understanding of this issue.  However, OMB made clear that State agencies (SAs) and SFAs can require through contractual terms that FSMCs charge the SFAs only for actual costs which are net of all credits, discounts, and rebates.  </w:t>
      </w:r>
    </w:p>
    <w:p w14:paraId="706BFCB8" w14:textId="77777777" w:rsidR="009808C1" w:rsidRDefault="009808C1" w:rsidP="009808C1"/>
    <w:p w14:paraId="79CB24AA" w14:textId="77777777" w:rsidR="009808C1" w:rsidRDefault="009808C1" w:rsidP="009808C1">
      <w:r>
        <w:t>Therefore, FNS strongly encourages that SFAs include in their cost-reimbursable contracts with FSMCs such contractual terms that require the FSMC to charge the SFA only for actual costs, net of all credits, discounts, rebates, and allowances.  This will ensure that SFAs pay only the actual net costs incurred by the FSMCs.  Any SFA that does not include such provisions in cost-reimbursable contracts could be liable to the FSMC for payment of costs in excess of the actual net costs incurred by the FSMC.  Further, FNS will fully support SAs and SFAs that elect to require contract terms that protect the financial integrity of the School Nutrition Programs.</w:t>
      </w:r>
    </w:p>
    <w:p w14:paraId="014A777C" w14:textId="77777777" w:rsidR="009808C1" w:rsidRDefault="009808C1" w:rsidP="009808C1"/>
    <w:p w14:paraId="20D68EEA" w14:textId="77777777" w:rsidR="009808C1" w:rsidRDefault="009808C1" w:rsidP="009808C1">
      <w:r>
        <w:t>If you have any questions, please contact Sandra Lehner of my staff at 312-353-6697.</w:t>
      </w:r>
    </w:p>
    <w:p w14:paraId="623569B2" w14:textId="77777777" w:rsidR="009808C1" w:rsidRDefault="009808C1" w:rsidP="009808C1"/>
    <w:p w14:paraId="3624A9F8" w14:textId="77777777" w:rsidR="009808C1" w:rsidRDefault="009808C1" w:rsidP="009808C1">
      <w:pPr>
        <w:ind w:left="360"/>
      </w:pPr>
    </w:p>
    <w:p w14:paraId="37995839" w14:textId="77777777" w:rsidR="009808C1" w:rsidRDefault="009808C1" w:rsidP="009808C1">
      <w:pPr>
        <w:ind w:left="360"/>
      </w:pPr>
    </w:p>
    <w:p w14:paraId="10DA6757" w14:textId="77777777" w:rsidR="009808C1" w:rsidRDefault="009808C1" w:rsidP="009808C1">
      <w:pPr>
        <w:ind w:left="360"/>
      </w:pPr>
      <w:r>
        <w:rPr>
          <w:b/>
          <w:bCs/>
        </w:rPr>
        <w:t>JOHN KWIT</w:t>
      </w:r>
      <w:r>
        <w:t xml:space="preserve"> for</w:t>
      </w:r>
    </w:p>
    <w:p w14:paraId="25BB25E9" w14:textId="77777777" w:rsidR="009808C1" w:rsidRDefault="009808C1" w:rsidP="009808C1">
      <w:pPr>
        <w:ind w:left="360"/>
      </w:pPr>
    </w:p>
    <w:p w14:paraId="17AA230E" w14:textId="77777777" w:rsidR="009808C1" w:rsidRDefault="009808C1" w:rsidP="009808C1">
      <w:r>
        <w:t>THERESA E. BOWMAN</w:t>
      </w:r>
    </w:p>
    <w:p w14:paraId="750F8788" w14:textId="77777777" w:rsidR="009808C1" w:rsidRDefault="009808C1" w:rsidP="009808C1">
      <w:r>
        <w:t>Regional Director</w:t>
      </w:r>
    </w:p>
    <w:p w14:paraId="6FCF5621" w14:textId="77777777" w:rsidR="001859AB" w:rsidRPr="00176F1D" w:rsidRDefault="009808C1" w:rsidP="009808C1">
      <w:r>
        <w:t>Special Nutrition Programs</w:t>
      </w:r>
    </w:p>
    <w:p w14:paraId="00281538" w14:textId="77777777" w:rsidR="001859AB" w:rsidRPr="001859AB" w:rsidRDefault="001859AB" w:rsidP="001859AB">
      <w:pPr>
        <w:rPr>
          <w:b/>
        </w:rPr>
      </w:pPr>
    </w:p>
    <w:p w14:paraId="1CC2C81B" w14:textId="77777777" w:rsidR="001859AB" w:rsidRPr="001859AB" w:rsidRDefault="001859AB" w:rsidP="00176F1D"/>
    <w:p w14:paraId="77838794" w14:textId="77777777" w:rsidR="008E6530" w:rsidRPr="001859AB" w:rsidRDefault="008E6530" w:rsidP="009C7E49">
      <w:pPr>
        <w:ind w:right="72"/>
      </w:pPr>
    </w:p>
    <w:sectPr w:rsidR="008E6530" w:rsidRPr="001859AB">
      <w:headerReference w:type="first" r:id="rId6"/>
      <w:footerReference w:type="first" r:id="rId7"/>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AB51" w14:textId="77777777" w:rsidR="0056035C" w:rsidRDefault="0056035C">
      <w:r>
        <w:separator/>
      </w:r>
    </w:p>
  </w:endnote>
  <w:endnote w:type="continuationSeparator" w:id="0">
    <w:p w14:paraId="0171AFD1" w14:textId="77777777" w:rsidR="0056035C" w:rsidRDefault="0056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7C83" w14:textId="77777777" w:rsidR="00E56CF9" w:rsidRDefault="00E56CF9">
    <w:pPr>
      <w:pStyle w:val="Footer"/>
      <w:jc w:val="center"/>
      <w:rPr>
        <w:rFonts w:ascii="Arial" w:hAnsi="Arial"/>
        <w:sz w:val="16"/>
      </w:rPr>
    </w:pPr>
  </w:p>
  <w:p w14:paraId="219A5D52"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39FAE151" w14:textId="77777777" w:rsidR="00E56CF9" w:rsidRDefault="00E56CF9">
    <w:pPr>
      <w:pStyle w:val="Footer"/>
      <w:jc w:val="center"/>
      <w:rPr>
        <w:rFonts w:ascii="Arial" w:hAnsi="Arial"/>
        <w:sz w:val="16"/>
      </w:rPr>
    </w:pPr>
  </w:p>
  <w:p w14:paraId="68A2A1B0"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23D7" w14:textId="77777777" w:rsidR="0056035C" w:rsidRDefault="0056035C">
      <w:r>
        <w:separator/>
      </w:r>
    </w:p>
  </w:footnote>
  <w:footnote w:type="continuationSeparator" w:id="0">
    <w:p w14:paraId="23E79A4C" w14:textId="77777777" w:rsidR="0056035C" w:rsidRDefault="0056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339" w14:textId="2F6B26FE" w:rsidR="00E56CF9" w:rsidRDefault="007B3595">
    <w:pPr>
      <w:pStyle w:val="Header"/>
      <w:jc w:val="center"/>
    </w:pPr>
    <w:r>
      <w:rPr>
        <w:noProof/>
      </w:rPr>
      <w:drawing>
        <wp:inline distT="0" distB="0" distL="0" distR="0" wp14:anchorId="105345D1" wp14:editId="45D80B5D">
          <wp:extent cx="733425" cy="514350"/>
          <wp:effectExtent l="0" t="0" r="0" b="0"/>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6E9B70CA" w14:textId="77777777" w:rsidR="00E56CF9" w:rsidRDefault="00E56CF9">
    <w:pPr>
      <w:pStyle w:val="Header"/>
      <w:jc w:val="center"/>
      <w:rPr>
        <w:rFonts w:ascii="Arial Black" w:hAnsi="Arial Black"/>
      </w:rPr>
    </w:pPr>
    <w:r>
      <w:rPr>
        <w:rFonts w:ascii="Arial Black" w:hAnsi="Arial Black"/>
      </w:rPr>
      <w:t>United States Department of Agriculture</w:t>
    </w:r>
  </w:p>
  <w:p w14:paraId="5C42E27A" w14:textId="77777777" w:rsidR="00E56CF9" w:rsidRDefault="00E56CF9">
    <w:pPr>
      <w:pStyle w:val="Header"/>
      <w:jc w:val="center"/>
      <w:rPr>
        <w:rFonts w:ascii="Arial" w:hAnsi="Arial"/>
        <w:sz w:val="18"/>
      </w:rPr>
    </w:pPr>
    <w:r>
      <w:rPr>
        <w:rFonts w:ascii="Arial" w:hAnsi="Arial"/>
        <w:sz w:val="18"/>
      </w:rPr>
      <w:t>Food and Nutrition Service</w:t>
    </w:r>
  </w:p>
  <w:p w14:paraId="0CF74E25" w14:textId="77777777" w:rsidR="00E56CF9" w:rsidRDefault="00E56CF9">
    <w:pPr>
      <w:pStyle w:val="Header"/>
      <w:jc w:val="center"/>
      <w:rPr>
        <w:rFonts w:ascii="Arial" w:hAnsi="Arial"/>
        <w:sz w:val="18"/>
      </w:rPr>
    </w:pPr>
  </w:p>
  <w:p w14:paraId="067DA388"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1CF753D4" w14:textId="591B1274" w:rsidR="00E56CF9" w:rsidRDefault="00E56CF9">
    <w:pPr>
      <w:pStyle w:val="Header"/>
    </w:pPr>
  </w:p>
  <w:p w14:paraId="5757A110" w14:textId="3980266E" w:rsidR="00E56CF9" w:rsidRDefault="007B3595">
    <w:pPr>
      <w:pStyle w:val="Header"/>
    </w:pPr>
    <w:r>
      <w:rPr>
        <w:noProof/>
      </w:rPr>
      <mc:AlternateContent>
        <mc:Choice Requires="wps">
          <w:drawing>
            <wp:anchor distT="0" distB="0" distL="114300" distR="114300" simplePos="0" relativeHeight="251657216" behindDoc="1" locked="0" layoutInCell="0" allowOverlap="1" wp14:anchorId="528BCB2F" wp14:editId="4099EBDD">
              <wp:simplePos x="0" y="0"/>
              <wp:positionH relativeFrom="page">
                <wp:posOffset>285750</wp:posOffset>
              </wp:positionH>
              <wp:positionV relativeFrom="margin">
                <wp:posOffset>635</wp:posOffset>
              </wp:positionV>
              <wp:extent cx="514985" cy="15760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57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F54C18" w14:textId="77777777" w:rsidR="00E56CF9" w:rsidRDefault="00E56CF9">
                          <w:pPr>
                            <w:jc w:val="right"/>
                            <w:rPr>
                              <w:rFonts w:ascii="Arial" w:hAnsi="Arial"/>
                            </w:rPr>
                          </w:pPr>
                          <w:r>
                            <w:rPr>
                              <w:rFonts w:ascii="Arial" w:hAnsi="Arial"/>
                            </w:rPr>
                            <w:t>Reply to</w:t>
                          </w:r>
                        </w:p>
                        <w:p w14:paraId="53752BB4" w14:textId="77777777" w:rsidR="00E56CF9" w:rsidRDefault="00E56CF9">
                          <w:pPr>
                            <w:jc w:val="right"/>
                            <w:rPr>
                              <w:rFonts w:ascii="Arial" w:hAnsi="Arial"/>
                            </w:rPr>
                          </w:pPr>
                          <w:r>
                            <w:rPr>
                              <w:rFonts w:ascii="Arial" w:hAnsi="Arial"/>
                            </w:rPr>
                            <w:t>attn of:</w:t>
                          </w:r>
                        </w:p>
                        <w:p w14:paraId="511A8350" w14:textId="77777777" w:rsidR="00E56CF9" w:rsidRDefault="00E56CF9">
                          <w:pPr>
                            <w:jc w:val="right"/>
                            <w:rPr>
                              <w:rFonts w:ascii="Arial" w:hAnsi="Arial"/>
                            </w:rPr>
                          </w:pPr>
                        </w:p>
                        <w:p w14:paraId="012C75A0" w14:textId="77777777" w:rsidR="00E56CF9" w:rsidRDefault="00E56CF9">
                          <w:pPr>
                            <w:jc w:val="right"/>
                            <w:rPr>
                              <w:rFonts w:ascii="Arial" w:hAnsi="Arial"/>
                            </w:rPr>
                          </w:pPr>
                        </w:p>
                        <w:p w14:paraId="21A91B45" w14:textId="77777777" w:rsidR="00E56CF9" w:rsidRDefault="00E56CF9">
                          <w:pPr>
                            <w:jc w:val="right"/>
                            <w:rPr>
                              <w:rFonts w:ascii="Arial" w:hAnsi="Arial"/>
                            </w:rPr>
                          </w:pPr>
                          <w:r>
                            <w:rPr>
                              <w:rFonts w:ascii="Arial" w:hAnsi="Arial"/>
                            </w:rPr>
                            <w:t>Subject:</w:t>
                          </w:r>
                        </w:p>
                        <w:p w14:paraId="6F87FCFB" w14:textId="77777777" w:rsidR="00E56CF9" w:rsidRDefault="00E56CF9">
                          <w:pPr>
                            <w:jc w:val="right"/>
                            <w:rPr>
                              <w:rFonts w:ascii="Arial" w:hAnsi="Arial"/>
                            </w:rPr>
                          </w:pPr>
                        </w:p>
                        <w:p w14:paraId="4F01297F" w14:textId="77777777" w:rsidR="00E56CF9" w:rsidRDefault="00E56CF9">
                          <w:pPr>
                            <w:jc w:val="right"/>
                            <w:rPr>
                              <w:rFonts w:ascii="Arial" w:hAnsi="Arial"/>
                            </w:rPr>
                          </w:pPr>
                        </w:p>
                        <w:p w14:paraId="7AA1DC8D" w14:textId="77777777" w:rsidR="00E56CF9" w:rsidRDefault="00E56CF9">
                          <w:pPr>
                            <w:jc w:val="right"/>
                            <w:rPr>
                              <w:rFonts w:ascii="Arial" w:hAnsi="Arial"/>
                            </w:rPr>
                          </w:pPr>
                        </w:p>
                        <w:p w14:paraId="2E97113F" w14:textId="77777777" w:rsidR="00E56CF9" w:rsidRDefault="00E56CF9">
                          <w:pPr>
                            <w:jc w:val="right"/>
                          </w:pPr>
                          <w:r>
                            <w:rPr>
                              <w:rFonts w:ascii="Arial" w:hAnsi="Arial"/>
                            </w:rPr>
                            <w:t>To</w:t>
                          </w:r>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CB2F" id="Rectangle 1" o:spid="_x0000_s1026" style="position:absolute;margin-left:22.5pt;margin-top:.05pt;width:40.55pt;height:1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" o:allowincell="f" filled="f" stroked="f" strokeweight="1pt">
              <v:textbox inset="1pt,1pt,1pt,1pt">
                <w:txbxContent>
                  <w:p w14:paraId="6EF54C18" w14:textId="77777777" w:rsidR="00E56CF9" w:rsidRDefault="00E56CF9">
                    <w:pPr>
                      <w:jc w:val="right"/>
                      <w:rPr>
                        <w:rFonts w:ascii="Arial" w:hAnsi="Arial"/>
                      </w:rPr>
                    </w:pPr>
                    <w:r>
                      <w:rPr>
                        <w:rFonts w:ascii="Arial" w:hAnsi="Arial"/>
                      </w:rPr>
                      <w:t>Reply to</w:t>
                    </w:r>
                  </w:p>
                  <w:p w14:paraId="53752BB4" w14:textId="77777777" w:rsidR="00E56CF9" w:rsidRDefault="00E56CF9">
                    <w:pPr>
                      <w:jc w:val="right"/>
                      <w:rPr>
                        <w:rFonts w:ascii="Arial" w:hAnsi="Arial"/>
                      </w:rPr>
                    </w:pPr>
                    <w:r>
                      <w:rPr>
                        <w:rFonts w:ascii="Arial" w:hAnsi="Arial"/>
                      </w:rPr>
                      <w:t>attn of:</w:t>
                    </w:r>
                  </w:p>
                  <w:p w14:paraId="511A8350" w14:textId="77777777" w:rsidR="00E56CF9" w:rsidRDefault="00E56CF9">
                    <w:pPr>
                      <w:jc w:val="right"/>
                      <w:rPr>
                        <w:rFonts w:ascii="Arial" w:hAnsi="Arial"/>
                      </w:rPr>
                    </w:pPr>
                  </w:p>
                  <w:p w14:paraId="012C75A0" w14:textId="77777777" w:rsidR="00E56CF9" w:rsidRDefault="00E56CF9">
                    <w:pPr>
                      <w:jc w:val="right"/>
                      <w:rPr>
                        <w:rFonts w:ascii="Arial" w:hAnsi="Arial"/>
                      </w:rPr>
                    </w:pPr>
                  </w:p>
                  <w:p w14:paraId="21A91B45" w14:textId="77777777" w:rsidR="00E56CF9" w:rsidRDefault="00E56CF9">
                    <w:pPr>
                      <w:jc w:val="right"/>
                      <w:rPr>
                        <w:rFonts w:ascii="Arial" w:hAnsi="Arial"/>
                      </w:rPr>
                    </w:pPr>
                    <w:r>
                      <w:rPr>
                        <w:rFonts w:ascii="Arial" w:hAnsi="Arial"/>
                      </w:rPr>
                      <w:t>Subject:</w:t>
                    </w:r>
                  </w:p>
                  <w:p w14:paraId="6F87FCFB" w14:textId="77777777" w:rsidR="00E56CF9" w:rsidRDefault="00E56CF9">
                    <w:pPr>
                      <w:jc w:val="right"/>
                      <w:rPr>
                        <w:rFonts w:ascii="Arial" w:hAnsi="Arial"/>
                      </w:rPr>
                    </w:pPr>
                  </w:p>
                  <w:p w14:paraId="4F01297F" w14:textId="77777777" w:rsidR="00E56CF9" w:rsidRDefault="00E56CF9">
                    <w:pPr>
                      <w:jc w:val="right"/>
                      <w:rPr>
                        <w:rFonts w:ascii="Arial" w:hAnsi="Arial"/>
                      </w:rPr>
                    </w:pPr>
                  </w:p>
                  <w:p w14:paraId="7AA1DC8D" w14:textId="77777777" w:rsidR="00E56CF9" w:rsidRDefault="00E56CF9">
                    <w:pPr>
                      <w:jc w:val="right"/>
                      <w:rPr>
                        <w:rFonts w:ascii="Arial" w:hAnsi="Arial"/>
                      </w:rPr>
                    </w:pPr>
                  </w:p>
                  <w:p w14:paraId="2E97113F" w14:textId="77777777" w:rsidR="00E56CF9" w:rsidRDefault="00E56CF9">
                    <w:pPr>
                      <w:jc w:val="right"/>
                    </w:pPr>
                    <w:r>
                      <w:rPr>
                        <w:rFonts w:ascii="Arial" w:hAnsi="Arial"/>
                      </w:rPr>
                      <w:t>To</w:t>
                    </w:r>
                    <w:r>
                      <w:t>:</w:t>
                    </w:r>
                  </w:p>
                </w:txbxContent>
              </v:textbox>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40CB1"/>
    <w:rsid w:val="002671AA"/>
    <w:rsid w:val="002A0E66"/>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552E2E"/>
    <w:rsid w:val="0056035C"/>
    <w:rsid w:val="0058512F"/>
    <w:rsid w:val="00596BE9"/>
    <w:rsid w:val="005C4EC3"/>
    <w:rsid w:val="0062603F"/>
    <w:rsid w:val="00677857"/>
    <w:rsid w:val="00685140"/>
    <w:rsid w:val="00690B53"/>
    <w:rsid w:val="006B5D2F"/>
    <w:rsid w:val="007946E2"/>
    <w:rsid w:val="007A2728"/>
    <w:rsid w:val="007A5DF9"/>
    <w:rsid w:val="007B319D"/>
    <w:rsid w:val="007B3595"/>
    <w:rsid w:val="007F0057"/>
    <w:rsid w:val="007F764C"/>
    <w:rsid w:val="00842023"/>
    <w:rsid w:val="008A4A7B"/>
    <w:rsid w:val="008C19BF"/>
    <w:rsid w:val="008C416C"/>
    <w:rsid w:val="008E5025"/>
    <w:rsid w:val="008E6530"/>
    <w:rsid w:val="00910062"/>
    <w:rsid w:val="009808C1"/>
    <w:rsid w:val="00985461"/>
    <w:rsid w:val="009A30F6"/>
    <w:rsid w:val="009A735D"/>
    <w:rsid w:val="009B10FA"/>
    <w:rsid w:val="009C7E49"/>
    <w:rsid w:val="009F0C68"/>
    <w:rsid w:val="009F5554"/>
    <w:rsid w:val="00A1768C"/>
    <w:rsid w:val="00A20ECD"/>
    <w:rsid w:val="00A55830"/>
    <w:rsid w:val="00A8746A"/>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D44FA4"/>
    <w:rsid w:val="00D725DF"/>
    <w:rsid w:val="00D742F9"/>
    <w:rsid w:val="00D77CEE"/>
    <w:rsid w:val="00D866C1"/>
    <w:rsid w:val="00DE663F"/>
    <w:rsid w:val="00E50888"/>
    <w:rsid w:val="00E56CF9"/>
    <w:rsid w:val="00E7558D"/>
    <w:rsid w:val="00ED6946"/>
    <w:rsid w:val="00EF7AC4"/>
    <w:rsid w:val="00F92B4A"/>
    <w:rsid w:val="00FB3B86"/>
    <w:rsid w:val="00FD52B6"/>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2"/>
    </o:shapelayout>
  </w:shapeDefaults>
  <w:decimalSymbol w:val="."/>
  <w:listSeparator w:val=","/>
  <w14:docId w14:val="64D667A6"/>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 w:type="paragraph" w:styleId="BodyTextIndent">
    <w:name w:val="Body Text Indent"/>
    <w:basedOn w:val="Normal"/>
    <w:rsid w:val="009808C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2</TotalTime>
  <Pages>2</Pages>
  <Words>260</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Clarification Concerning Food Service Management Companies (FSMC) Cost Reimbursable Contracts #03-08</vt:lpstr>
    </vt:vector>
  </TitlesOfParts>
  <Company>USDA Food and Nutrition Service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Concerning Food Service Management Companies (FSMC) Cost Reimbursable Contracts #03-08</dc:title>
  <dc:subject/>
  <dc:creator>USDA - Midwest Region</dc:creator>
  <cp:keywords>procurement,food service management companies,FSMC,contracts,USDA policy memo,03-08</cp:keywords>
  <dc:description>FY 03 School and Community Nutrition Programs Policy Memorandum #03-08</dc:description>
  <cp:lastModifiedBy>Oele, Jessica M.   DPI</cp:lastModifiedBy>
  <cp:revision>3</cp:revision>
  <cp:lastPrinted>2005-05-11T17:12:00Z</cp:lastPrinted>
  <dcterms:created xsi:type="dcterms:W3CDTF">2021-04-06T20:39:00Z</dcterms:created>
  <dcterms:modified xsi:type="dcterms:W3CDTF">2021-04-06T20:40:00Z</dcterms:modified>
</cp:coreProperties>
</file>