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6" w:rsidRDefault="00532F36">
      <w:pPr>
        <w:contextualSpacing w:val="0"/>
      </w:pPr>
      <w:bookmarkStart w:id="0" w:name="_GoBack"/>
      <w:bookmarkEnd w:id="0"/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195"/>
        <w:gridCol w:w="3540"/>
        <w:gridCol w:w="4350"/>
      </w:tblGrid>
      <w:tr w:rsidR="00532F36">
        <w:trPr>
          <w:trHeight w:val="420"/>
        </w:trPr>
        <w:tc>
          <w:tcPr>
            <w:tcW w:w="14400" w:type="dxa"/>
            <w:gridSpan w:val="4"/>
            <w:shd w:val="clear" w:color="auto" w:fill="F99C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contextualSpacing w:val="0"/>
              <w:rPr>
                <w:b/>
              </w:rPr>
            </w:pPr>
            <w:r>
              <w:rPr>
                <w:b/>
              </w:rPr>
              <w:t>2-LS4-1. Make observations of plants and animals to compare the diversity of life in different habitats (From Venn Diagram)</w:t>
            </w:r>
          </w:p>
          <w:p w:rsidR="00532F36" w:rsidRDefault="00933809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[Clarification Statement: Emphasis is on the diversity of living things in each of a variety of different habitats] </w:t>
            </w:r>
          </w:p>
          <w:p w:rsidR="00532F36" w:rsidRDefault="00933809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[Assessment Boundary: Assessment does not include specific animal and plant names in specific habitats] </w:t>
            </w:r>
          </w:p>
        </w:tc>
      </w:tr>
      <w:tr w:rsidR="00532F36">
        <w:tc>
          <w:tcPr>
            <w:tcW w:w="3315" w:type="dxa"/>
            <w:shd w:val="clear" w:color="auto" w:fill="F99C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5" w:type="dxa"/>
            <w:shd w:val="clear" w:color="auto" w:fill="F99C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0" w:type="dxa"/>
            <w:shd w:val="clear" w:color="auto" w:fill="F99C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shd w:val="clear" w:color="auto" w:fill="F99C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32F36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</w:pPr>
            <w:r>
              <w:t xml:space="preserve">States observations of a plant or animal in only </w:t>
            </w:r>
            <w:r>
              <w:rPr>
                <w:b/>
              </w:rPr>
              <w:t>one</w:t>
            </w:r>
            <w:r>
              <w:t xml:space="preserve"> habitat (woodland or polar)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     -and-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>Lists no or one unrelated comparison in “same” category (such as “birds”, “water”, or “air”)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532F36">
            <w:pPr>
              <w:widowControl w:val="0"/>
              <w:contextualSpacing w:val="0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</w:pPr>
            <w:r>
              <w:t xml:space="preserve">States at least two observations of plants/animals in </w:t>
            </w:r>
            <w:r>
              <w:rPr>
                <w:b/>
              </w:rPr>
              <w:t>each</w:t>
            </w:r>
            <w:r>
              <w:t xml:space="preserve"> habitat (woodland or polar)</w:t>
            </w: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</w:t>
            </w: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   -and-</w:t>
            </w:r>
          </w:p>
          <w:p w:rsidR="00532F36" w:rsidRDefault="00933809">
            <w:pPr>
              <w:widowControl w:val="0"/>
              <w:contextualSpacing w:val="0"/>
            </w:pPr>
            <w:r>
              <w:t xml:space="preserve"> </w:t>
            </w:r>
          </w:p>
          <w:p w:rsidR="00532F36" w:rsidRDefault="00933809">
            <w:pPr>
              <w:widowControl w:val="0"/>
              <w:contextualSpacing w:val="0"/>
            </w:pPr>
            <w:r>
              <w:t>Lists one accurate c</w:t>
            </w:r>
            <w:r>
              <w:t>omparison in “same” category (such as “need food”, “have shelter”, or “water”)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</w:pPr>
            <w:r>
              <w:t xml:space="preserve">States at least </w:t>
            </w:r>
            <w:r>
              <w:rPr>
                <w:b/>
              </w:rPr>
              <w:t>two</w:t>
            </w:r>
            <w:r>
              <w:t xml:space="preserve"> observations of plants/animals in </w:t>
            </w:r>
            <w:r>
              <w:rPr>
                <w:b/>
              </w:rPr>
              <w:t xml:space="preserve">each </w:t>
            </w:r>
            <w:r>
              <w:t>habitat (woodland and polar)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      -and-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  <w:rPr>
                <w:b/>
              </w:rPr>
            </w:pPr>
            <w:r>
              <w:t>Lists at least two accurate comparisons in “same” category with examples (such as “need food - with food listed”, “need shelter - with shelter listed”, or “have water available”)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</w:pPr>
            <w:r>
              <w:t xml:space="preserve">States observations of </w:t>
            </w:r>
            <w:r>
              <w:rPr>
                <w:b/>
              </w:rPr>
              <w:t>both</w:t>
            </w:r>
            <w:r>
              <w:t xml:space="preserve"> plants </w:t>
            </w:r>
            <w:r>
              <w:rPr>
                <w:b/>
              </w:rPr>
              <w:t>and</w:t>
            </w:r>
            <w:r>
              <w:t xml:space="preserve"> animals in </w:t>
            </w:r>
            <w:r>
              <w:rPr>
                <w:b/>
              </w:rPr>
              <w:t xml:space="preserve">each </w:t>
            </w:r>
            <w:r>
              <w:t xml:space="preserve">habitat (woodland and </w:t>
            </w:r>
            <w:r>
              <w:t>polar)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           -and-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>Lists more than two accurate comparisons in “same” category with examples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          -and-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>Lists properties beyond  food, shelter, water and air as similar aspects of living things in these h</w:t>
            </w:r>
            <w:r>
              <w:t>abitats, or refers to another type of habitat and how they would compare with life in that habitat</w:t>
            </w:r>
          </w:p>
        </w:tc>
      </w:tr>
      <w:tr w:rsidR="00532F36">
        <w:trPr>
          <w:trHeight w:val="420"/>
        </w:trPr>
        <w:tc>
          <w:tcPr>
            <w:tcW w:w="14400" w:type="dxa"/>
            <w:gridSpan w:val="4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SEPs: Engaging in Argument from Evidence (from Student </w:t>
            </w:r>
            <w:r>
              <w:rPr>
                <w:b/>
              </w:rPr>
              <w:t>R</w:t>
            </w:r>
            <w:r>
              <w:rPr>
                <w:b/>
              </w:rPr>
              <w:t>ecording Sheet for SEP)</w:t>
            </w:r>
          </w:p>
        </w:tc>
      </w:tr>
      <w:tr w:rsidR="00532F36">
        <w:tc>
          <w:tcPr>
            <w:tcW w:w="33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32F36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</w:pPr>
            <w:r>
              <w:t>Comments on a characteristic of only one of the two habitats’ animals</w:t>
            </w: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   -and-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 xml:space="preserve">Relies on opinion, not evidence,  when stating what helps animals survive in that habitat (such as “cute”) </w:t>
            </w: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     -or-</w:t>
            </w:r>
          </w:p>
          <w:p w:rsidR="00532F36" w:rsidRDefault="00933809">
            <w:pPr>
              <w:widowControl w:val="0"/>
              <w:contextualSpacing w:val="0"/>
            </w:pPr>
            <w:r>
              <w:t>Identifies incorrect</w:t>
            </w:r>
            <w:r>
              <w:t xml:space="preserve"> evidence when stating what helps animals survive in that habitat (such as “people hunt deer”)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</w:pPr>
            <w:r>
              <w:t>Includes characteristics for all animals in each habitat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      -and-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>Uses accurate evidence for each animal, but evidence may not include why the animal is suited for the environment (such as “has fur”, “swims”, wings”)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</w:pPr>
            <w:r>
              <w:t>Includes characteristics for all animals in each habitat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      -and-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>Uses accurate e</w:t>
            </w:r>
            <w:r>
              <w:t xml:space="preserve">vidence for each animal, and evidence includes why the animal is suited for the environment for </w:t>
            </w:r>
            <w:r>
              <w:t>at least two animals</w:t>
            </w:r>
            <w:r>
              <w:t xml:space="preserve"> (such as “fur to keep warm”, “can swim for food and avoid predators”, “color helps it hide from predators in its environment”)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36" w:rsidRDefault="00933809">
            <w:pPr>
              <w:widowControl w:val="0"/>
              <w:contextualSpacing w:val="0"/>
            </w:pPr>
            <w:r>
              <w:t>Includes tho</w:t>
            </w:r>
            <w:r>
              <w:t xml:space="preserve">rough characteristics for all animals in each habitat 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 xml:space="preserve">                         -and-</w:t>
            </w:r>
          </w:p>
          <w:p w:rsidR="00532F36" w:rsidRDefault="00532F36">
            <w:pPr>
              <w:widowControl w:val="0"/>
              <w:contextualSpacing w:val="0"/>
            </w:pPr>
          </w:p>
          <w:p w:rsidR="00532F36" w:rsidRDefault="00933809">
            <w:pPr>
              <w:widowControl w:val="0"/>
              <w:contextualSpacing w:val="0"/>
            </w:pPr>
            <w:r>
              <w:t>Specifically links evidence for each animal to why it helps with survival in that environment and not a different environment  beyond shelter and food (such as “can run</w:t>
            </w:r>
            <w:r>
              <w:t xml:space="preserve"> fast to avoid predators on land, but could not swim to avoid danger in water”, “has thick fur for the cold but would be too hot in a hot desert”, “eats fish from water but could not survive in the wooded environment with no ocean”)</w:t>
            </w:r>
          </w:p>
        </w:tc>
      </w:tr>
    </w:tbl>
    <w:p w:rsidR="00532F36" w:rsidRDefault="00532F36">
      <w:pPr>
        <w:contextualSpacing w:val="0"/>
      </w:pPr>
    </w:p>
    <w:sectPr w:rsidR="00532F36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2F36"/>
    <w:rsid w:val="00532F36"/>
    <w:rsid w:val="009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DC7E1-3502-44C4-AB11-1696D2E9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Kevin J.   DPI</dc:creator>
  <cp:lastModifiedBy>Anderson, Kevin J.   DPI</cp:lastModifiedBy>
  <cp:revision>2</cp:revision>
  <cp:lastPrinted>2018-09-21T20:34:00Z</cp:lastPrinted>
  <dcterms:created xsi:type="dcterms:W3CDTF">2018-09-21T20:34:00Z</dcterms:created>
  <dcterms:modified xsi:type="dcterms:W3CDTF">2018-09-21T20:34:00Z</dcterms:modified>
</cp:coreProperties>
</file>